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A312">
      <w:pPr>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评审标准</w:t>
      </w:r>
    </w:p>
    <w:p w14:paraId="56882A66">
      <w:pPr>
        <w:spacing w:line="440" w:lineRule="exact"/>
        <w:ind w:firstLine="470" w:firstLineChars="196"/>
        <w:contextualSpacing/>
        <w:rPr>
          <w:rFonts w:ascii="宋体" w:hAnsi="宋体" w:eastAsia="宋体"/>
          <w:sz w:val="24"/>
          <w:szCs w:val="24"/>
        </w:rPr>
      </w:pPr>
      <w:r>
        <w:rPr>
          <w:rFonts w:hint="eastAsia" w:ascii="宋体" w:hAnsi="宋体" w:eastAsia="宋体"/>
          <w:sz w:val="24"/>
          <w:szCs w:val="24"/>
        </w:rPr>
        <w:t>1.对响应文件进行综合评审。评审小组只对通过初审，实质上满足响应文件要求的响应文件按照下述指标表进行综合评审。</w:t>
      </w:r>
    </w:p>
    <w:p w14:paraId="40CF4337">
      <w:pPr>
        <w:spacing w:line="440" w:lineRule="exact"/>
        <w:ind w:firstLine="470" w:firstLineChars="196"/>
        <w:contextualSpacing/>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总分100分，</w:t>
      </w:r>
      <w:r>
        <w:rPr>
          <w:rFonts w:hint="eastAsia" w:ascii="宋体" w:hAnsi="宋体" w:eastAsia="宋体"/>
          <w:sz w:val="24"/>
          <w:szCs w:val="24"/>
        </w:rPr>
        <w:t>本项目技术分值占总分值的权重为</w:t>
      </w:r>
      <w:r>
        <w:rPr>
          <w:rFonts w:ascii="宋体" w:hAnsi="宋体" w:eastAsia="宋体"/>
          <w:sz w:val="24"/>
          <w:szCs w:val="24"/>
          <w:u w:val="single"/>
        </w:rPr>
        <w:t xml:space="preserve"> </w:t>
      </w:r>
      <w:r>
        <w:rPr>
          <w:rFonts w:hint="eastAsia" w:ascii="宋体" w:hAnsi="宋体" w:eastAsia="宋体"/>
          <w:sz w:val="24"/>
          <w:szCs w:val="24"/>
          <w:u w:val="single"/>
          <w:lang w:val="en-US" w:eastAsia="zh-CN"/>
        </w:rPr>
        <w:t>70</w:t>
      </w:r>
      <w:r>
        <w:rPr>
          <w:rFonts w:ascii="宋体" w:hAnsi="宋体" w:eastAsia="宋体"/>
          <w:sz w:val="24"/>
          <w:szCs w:val="24"/>
          <w:u w:val="single"/>
        </w:rPr>
        <w:t xml:space="preserve"> </w:t>
      </w:r>
      <w:r>
        <w:rPr>
          <w:rFonts w:hint="eastAsia" w:ascii="宋体" w:hAnsi="宋体" w:eastAsia="宋体"/>
          <w:sz w:val="24"/>
          <w:szCs w:val="24"/>
        </w:rPr>
        <w:t>%，价格分值占总分值的权重为</w:t>
      </w:r>
      <w:r>
        <w:rPr>
          <w:rFonts w:hint="eastAsia" w:ascii="宋体" w:hAnsi="宋体" w:eastAsia="宋体"/>
          <w:sz w:val="24"/>
          <w:szCs w:val="24"/>
          <w:u w:val="single"/>
          <w:lang w:val="en-US" w:eastAsia="zh-CN"/>
        </w:rPr>
        <w:t>30</w:t>
      </w:r>
      <w:r>
        <w:rPr>
          <w:rFonts w:hint="eastAsia" w:ascii="宋体" w:hAnsi="宋体" w:eastAsia="宋体"/>
          <w:sz w:val="24"/>
          <w:szCs w:val="24"/>
        </w:rPr>
        <w:t>%。</w:t>
      </w:r>
    </w:p>
    <w:p w14:paraId="1E5134CE">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3.评分步骤如下：</w:t>
      </w:r>
    </w:p>
    <w:p w14:paraId="7A30E0B3">
      <w:pPr>
        <w:adjustRightInd w:val="0"/>
        <w:spacing w:line="440" w:lineRule="exact"/>
        <w:ind w:firstLine="480" w:firstLineChars="200"/>
        <w:contextualSpacing/>
        <w:rPr>
          <w:rFonts w:hint="eastAsia" w:ascii="宋体" w:hAnsi="宋体" w:eastAsia="宋体"/>
          <w:sz w:val="24"/>
          <w:szCs w:val="24"/>
          <w:lang w:val="en-US" w:eastAsia="zh-CN"/>
        </w:rPr>
      </w:pPr>
      <w:r>
        <w:rPr>
          <w:rFonts w:hint="eastAsia" w:ascii="宋体" w:hAnsi="宋体" w:eastAsia="宋体"/>
          <w:sz w:val="24"/>
          <w:szCs w:val="24"/>
        </w:rPr>
        <w:t>（1）技术分</w:t>
      </w:r>
      <w:r>
        <w:rPr>
          <w:rFonts w:hint="eastAsia" w:ascii="宋体" w:hAnsi="宋体" w:eastAsia="宋体"/>
          <w:sz w:val="24"/>
          <w:szCs w:val="24"/>
          <w:lang w:val="en-US" w:eastAsia="zh-CN"/>
        </w:rPr>
        <w:t xml:space="preserve"> </w:t>
      </w:r>
    </w:p>
    <w:p w14:paraId="0AAA93B3">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根据技术分的细则，评审小组应对进入综合评审的所有供应商进行评分，并分别填写综合评审表。</w:t>
      </w:r>
    </w:p>
    <w:p w14:paraId="770F59BE">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技术分汇总方法为：对某一供应商的每一个指标项得分，取各位评委评分之平均值，保留至小数点后两位数，得到该供应商该指标项的得分。再将供应商每个指标项得分进行汇总，得到该供应商的技术分之和，即技术总得分。</w:t>
      </w:r>
    </w:p>
    <w:p w14:paraId="434E740E">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技术分的综合评审指标详见下表：</w:t>
      </w:r>
    </w:p>
    <w:tbl>
      <w:tblPr>
        <w:tblStyle w:val="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485"/>
        <w:gridCol w:w="5025"/>
        <w:gridCol w:w="934"/>
      </w:tblGrid>
      <w:tr w14:paraId="11AA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6F1C2C8C">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485" w:type="dxa"/>
            <w:tcBorders>
              <w:top w:val="single" w:color="auto" w:sz="4" w:space="0"/>
              <w:left w:val="single" w:color="auto" w:sz="4" w:space="0"/>
              <w:bottom w:val="single" w:color="auto" w:sz="4" w:space="0"/>
              <w:right w:val="single" w:color="auto" w:sz="4" w:space="0"/>
            </w:tcBorders>
            <w:vAlign w:val="center"/>
          </w:tcPr>
          <w:p w14:paraId="3CCB8AAD">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5025" w:type="dxa"/>
            <w:tcBorders>
              <w:top w:val="single" w:color="auto" w:sz="4" w:space="0"/>
              <w:left w:val="single" w:color="auto" w:sz="4" w:space="0"/>
              <w:bottom w:val="single" w:color="auto" w:sz="4" w:space="0"/>
              <w:right w:val="single" w:color="auto" w:sz="4" w:space="0"/>
            </w:tcBorders>
            <w:vAlign w:val="center"/>
          </w:tcPr>
          <w:p w14:paraId="4DE12A0D">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934" w:type="dxa"/>
            <w:tcBorders>
              <w:top w:val="single" w:color="auto" w:sz="4" w:space="0"/>
              <w:left w:val="single" w:color="auto" w:sz="4" w:space="0"/>
              <w:bottom w:val="single" w:color="auto" w:sz="4" w:space="0"/>
              <w:right w:val="single" w:color="auto" w:sz="4" w:space="0"/>
            </w:tcBorders>
            <w:vAlign w:val="center"/>
          </w:tcPr>
          <w:p w14:paraId="0AB98C80">
            <w:pPr>
              <w:spacing w:line="360" w:lineRule="exact"/>
              <w:contextualSpacing/>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4BBC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right w:val="single" w:color="auto" w:sz="4" w:space="0"/>
            </w:tcBorders>
            <w:vAlign w:val="center"/>
          </w:tcPr>
          <w:p w14:paraId="1A7A76EC">
            <w:pPr>
              <w:spacing w:line="360" w:lineRule="auto"/>
              <w:jc w:val="center"/>
              <w:rPr>
                <w:rFonts w:ascii="宋体" w:hAnsi="宋体" w:eastAsia="宋体" w:cs="宋体"/>
                <w:b/>
                <w:bCs/>
                <w:sz w:val="24"/>
                <w:szCs w:val="24"/>
                <w:highlight w:val="none"/>
              </w:rPr>
            </w:pPr>
            <w:r>
              <w:rPr>
                <w:rFonts w:hint="eastAsia" w:ascii="宋体" w:hAnsi="宋体" w:eastAsia="宋体" w:cs="宋体"/>
                <w:sz w:val="24"/>
                <w:szCs w:val="24"/>
                <w:highlight w:val="none"/>
              </w:rPr>
              <w:t>技术资信分（</w:t>
            </w:r>
            <w:r>
              <w:rPr>
                <w:rFonts w:hint="eastAsia" w:ascii="宋体" w:hAnsi="宋体" w:eastAsia="宋体" w:cs="宋体"/>
                <w:sz w:val="24"/>
                <w:szCs w:val="24"/>
                <w:highlight w:val="none"/>
                <w:u w:val="single"/>
              </w:rPr>
              <w:t>7</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w:t>
            </w:r>
          </w:p>
        </w:tc>
        <w:tc>
          <w:tcPr>
            <w:tcW w:w="1485" w:type="dxa"/>
            <w:tcBorders>
              <w:top w:val="single" w:color="auto" w:sz="4" w:space="0"/>
              <w:left w:val="single" w:color="auto" w:sz="4" w:space="0"/>
              <w:bottom w:val="single" w:color="auto" w:sz="4" w:space="0"/>
              <w:right w:val="single" w:color="auto" w:sz="4" w:space="0"/>
            </w:tcBorders>
            <w:vAlign w:val="center"/>
          </w:tcPr>
          <w:p w14:paraId="12DFFC7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服务方案</w:t>
            </w:r>
          </w:p>
        </w:tc>
        <w:tc>
          <w:tcPr>
            <w:tcW w:w="5025" w:type="dxa"/>
            <w:tcBorders>
              <w:top w:val="single" w:color="auto" w:sz="4" w:space="0"/>
              <w:left w:val="single" w:color="auto" w:sz="4" w:space="0"/>
              <w:bottom w:val="single" w:color="auto" w:sz="4" w:space="0"/>
              <w:right w:val="single" w:color="auto" w:sz="4" w:space="0"/>
            </w:tcBorders>
            <w:vAlign w:val="center"/>
          </w:tcPr>
          <w:p w14:paraId="292409A4">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结合本项目的实际情况，对供应商提供的整体技术方案（包含但不限于地籍调查方案、房屋调查方案、不动产测量方案、数据整理及入库汇交方案，年度变更调查方案），由评委综合评定：</w:t>
            </w:r>
          </w:p>
          <w:p w14:paraId="4BB08134">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1.技术方案科学可行、思路清晰、方法合理、可操作性强， 能充分响应招标人实际需求的得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p w14:paraId="3F86A0F6">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2.技术方案较科学可行、思路较清晰、可操作性较强的得 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29515FB9">
            <w:pPr>
              <w:spacing w:line="27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3.技术方案思路不够清晰、方法合理、可操作性一般，不能完全响应招标人实际需求的得</w:t>
            </w:r>
            <w:r>
              <w:rPr>
                <w:rFonts w:hint="eastAsia" w:ascii="宋体" w:hAnsi="宋体" w:eastAsia="宋体" w:cs="宋体"/>
                <w:sz w:val="24"/>
                <w:szCs w:val="24"/>
                <w:highlight w:val="none"/>
                <w:lang w:val="en-US" w:eastAsia="zh-CN"/>
              </w:rPr>
              <w:t>10</w:t>
            </w:r>
          </w:p>
          <w:p w14:paraId="35E3E96F">
            <w:pPr>
              <w:spacing w:line="276"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08F2F93">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4.未提供的不得分 。</w:t>
            </w:r>
          </w:p>
        </w:tc>
        <w:tc>
          <w:tcPr>
            <w:tcW w:w="934" w:type="dxa"/>
            <w:tcBorders>
              <w:top w:val="single" w:color="auto" w:sz="4" w:space="0"/>
              <w:left w:val="single" w:color="auto" w:sz="4" w:space="0"/>
              <w:bottom w:val="single" w:color="auto" w:sz="4" w:space="0"/>
              <w:right w:val="single" w:color="auto" w:sz="4" w:space="0"/>
            </w:tcBorders>
            <w:vAlign w:val="center"/>
          </w:tcPr>
          <w:p w14:paraId="4F340E48">
            <w:pPr>
              <w:spacing w:line="336"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20</w:t>
            </w:r>
          </w:p>
        </w:tc>
      </w:tr>
      <w:tr w14:paraId="23AA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left w:val="single" w:color="auto" w:sz="4" w:space="0"/>
              <w:right w:val="single" w:color="auto" w:sz="4" w:space="0"/>
            </w:tcBorders>
            <w:vAlign w:val="center"/>
          </w:tcPr>
          <w:p w14:paraId="363C7492">
            <w:pPr>
              <w:spacing w:line="360" w:lineRule="auto"/>
              <w:jc w:val="center"/>
              <w:rPr>
                <w:rFonts w:ascii="宋体" w:hAnsi="宋体" w:eastAsia="宋体" w:cs="宋体"/>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4CEDBF30">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软件和设备投入</w:t>
            </w:r>
          </w:p>
        </w:tc>
        <w:tc>
          <w:tcPr>
            <w:tcW w:w="5025" w:type="dxa"/>
            <w:tcBorders>
              <w:top w:val="single" w:color="auto" w:sz="4" w:space="0"/>
              <w:left w:val="single" w:color="auto" w:sz="4" w:space="0"/>
              <w:bottom w:val="single" w:color="auto" w:sz="4" w:space="0"/>
              <w:right w:val="single" w:color="auto" w:sz="4" w:space="0"/>
            </w:tcBorders>
            <w:vAlign w:val="center"/>
          </w:tcPr>
          <w:p w14:paraId="3DC2B581">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供应商具有全站仪、GNSS(GPS)、具有不动产登记数据库管理软件登记证书等相关配套的设备和辅助软件等情况，配置高、齐全的得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分，配置较高、较为齐全的得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分，配置一般、不齐全但能满足项目需求的得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分，配置较少的得1分，未提供的不得分。</w:t>
            </w:r>
          </w:p>
        </w:tc>
        <w:tc>
          <w:tcPr>
            <w:tcW w:w="934" w:type="dxa"/>
            <w:tcBorders>
              <w:top w:val="single" w:color="auto" w:sz="4" w:space="0"/>
              <w:left w:val="single" w:color="auto" w:sz="4" w:space="0"/>
              <w:bottom w:val="single" w:color="auto" w:sz="4" w:space="0"/>
              <w:right w:val="single" w:color="auto" w:sz="4" w:space="0"/>
            </w:tcBorders>
            <w:vAlign w:val="center"/>
          </w:tcPr>
          <w:p w14:paraId="09488F85">
            <w:pPr>
              <w:spacing w:line="336"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15</w:t>
            </w:r>
          </w:p>
        </w:tc>
      </w:tr>
      <w:tr w14:paraId="4760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left w:val="single" w:color="auto" w:sz="4" w:space="0"/>
              <w:right w:val="single" w:color="auto" w:sz="4" w:space="0"/>
            </w:tcBorders>
            <w:vAlign w:val="center"/>
          </w:tcPr>
          <w:p w14:paraId="74849383">
            <w:pPr>
              <w:spacing w:line="360" w:lineRule="auto"/>
              <w:ind w:firstLine="435"/>
              <w:jc w:val="center"/>
              <w:rPr>
                <w:rFonts w:ascii="宋体" w:hAnsi="宋体" w:eastAsia="宋体" w:cs="宋体"/>
                <w:b/>
                <w:bCs/>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159C266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专业工程技术人员配备</w:t>
            </w:r>
          </w:p>
        </w:tc>
        <w:tc>
          <w:tcPr>
            <w:tcW w:w="5025" w:type="dxa"/>
            <w:tcBorders>
              <w:top w:val="single" w:color="auto" w:sz="4" w:space="0"/>
              <w:left w:val="single" w:color="auto" w:sz="4" w:space="0"/>
              <w:bottom w:val="single" w:color="auto" w:sz="4" w:space="0"/>
              <w:right w:val="single" w:color="auto" w:sz="4" w:space="0"/>
            </w:tcBorders>
            <w:vAlign w:val="center"/>
          </w:tcPr>
          <w:p w14:paraId="52C0745F">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w:t>
            </w:r>
            <w:r>
              <w:rPr>
                <w:rFonts w:hint="eastAsia" w:ascii="宋体" w:hAnsi="宋体" w:eastAsia="宋体" w:cs="宋体"/>
                <w:sz w:val="24"/>
                <w:szCs w:val="24"/>
                <w:highlight w:val="none"/>
              </w:rPr>
              <w:t>拟投入本项目负责人具备注册测绘师或测绘类高级工程师的，得5分。</w:t>
            </w:r>
          </w:p>
          <w:p w14:paraId="6B623310">
            <w:p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w:t>
            </w:r>
            <w:r>
              <w:rPr>
                <w:rFonts w:hint="eastAsia" w:ascii="宋体" w:hAnsi="宋体" w:eastAsia="宋体" w:cs="宋体"/>
                <w:sz w:val="24"/>
                <w:szCs w:val="24"/>
                <w:highlight w:val="none"/>
              </w:rPr>
              <w:t>供应商拟派至本项目技术负责人具有注册测绘师或测绘类高级工程师的，得5分。</w:t>
            </w:r>
          </w:p>
          <w:p w14:paraId="75652C84">
            <w:pPr>
              <w:spacing w:line="276"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投入项目的技术人员具有测绘类或地理信息、计算机软件专业的工程师或以上技术职称证书的，每有1人得1分，最高5分。</w:t>
            </w:r>
          </w:p>
          <w:p w14:paraId="3D3BF6F3">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注：供应商须提供项目团队成员职称证书等证明材料及在本单位连续缴纳的202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 1 月以来不少于 3 个月的有效社保证明。</w:t>
            </w:r>
          </w:p>
        </w:tc>
        <w:tc>
          <w:tcPr>
            <w:tcW w:w="934" w:type="dxa"/>
            <w:tcBorders>
              <w:top w:val="single" w:color="auto" w:sz="4" w:space="0"/>
              <w:left w:val="single" w:color="auto" w:sz="4" w:space="0"/>
              <w:bottom w:val="single" w:color="auto" w:sz="4" w:space="0"/>
              <w:right w:val="single" w:color="auto" w:sz="4" w:space="0"/>
            </w:tcBorders>
            <w:vAlign w:val="center"/>
          </w:tcPr>
          <w:p w14:paraId="4A7ED4D5">
            <w:pPr>
              <w:spacing w:line="336"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15</w:t>
            </w:r>
          </w:p>
        </w:tc>
      </w:tr>
      <w:tr w14:paraId="3357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left w:val="single" w:color="auto" w:sz="4" w:space="0"/>
              <w:right w:val="single" w:color="auto" w:sz="4" w:space="0"/>
            </w:tcBorders>
            <w:vAlign w:val="center"/>
          </w:tcPr>
          <w:p w14:paraId="655F830C">
            <w:pPr>
              <w:spacing w:line="360" w:lineRule="auto"/>
              <w:ind w:firstLine="435"/>
              <w:jc w:val="center"/>
              <w:rPr>
                <w:rFonts w:ascii="宋体" w:hAnsi="宋体" w:eastAsia="宋体" w:cs="宋体"/>
                <w:b/>
                <w:bCs/>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20A6385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业绩</w:t>
            </w:r>
          </w:p>
        </w:tc>
        <w:tc>
          <w:tcPr>
            <w:tcW w:w="5025" w:type="dxa"/>
            <w:tcBorders>
              <w:top w:val="single" w:color="auto" w:sz="4" w:space="0"/>
              <w:left w:val="single" w:color="auto" w:sz="4" w:space="0"/>
              <w:bottom w:val="single" w:color="auto" w:sz="4" w:space="0"/>
              <w:right w:val="single" w:color="auto" w:sz="4" w:space="0"/>
            </w:tcBorders>
            <w:vAlign w:val="center"/>
          </w:tcPr>
          <w:p w14:paraId="069D807D">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1.20</w:t>
            </w: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年1月1日以来，具有类似不动产权属证明办理服务业绩的，1个得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763562A2">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2.20</w:t>
            </w: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年1月1日以来，具有类似不动产测绘服务业绩的，1个得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659742EA">
            <w:pPr>
              <w:spacing w:line="276" w:lineRule="auto"/>
              <w:rPr>
                <w:rFonts w:ascii="宋体" w:hAnsi="宋体" w:eastAsia="宋体" w:cs="宋体"/>
                <w:sz w:val="24"/>
                <w:szCs w:val="24"/>
                <w:highlight w:val="none"/>
              </w:rPr>
            </w:pPr>
            <w:r>
              <w:rPr>
                <w:rFonts w:hint="eastAsia" w:ascii="宋体" w:hAnsi="宋体" w:eastAsia="宋体" w:cs="宋体"/>
                <w:sz w:val="24"/>
                <w:szCs w:val="24"/>
                <w:highlight w:val="none"/>
              </w:rPr>
              <w:t>注：响应文件中须提供业绩合同复印件或影印件，否则不予认可。采购人保留</w:t>
            </w:r>
            <w:bookmarkStart w:id="0" w:name="_GoBack"/>
            <w:bookmarkEnd w:id="0"/>
            <w:r>
              <w:rPr>
                <w:rFonts w:hint="eastAsia" w:ascii="宋体" w:hAnsi="宋体" w:eastAsia="宋体" w:cs="宋体"/>
                <w:sz w:val="24"/>
                <w:szCs w:val="24"/>
                <w:highlight w:val="none"/>
              </w:rPr>
              <w:t>对成交供应商项目真实性实地考察的权利。</w:t>
            </w:r>
          </w:p>
        </w:tc>
        <w:tc>
          <w:tcPr>
            <w:tcW w:w="934" w:type="dxa"/>
            <w:tcBorders>
              <w:top w:val="single" w:color="auto" w:sz="4" w:space="0"/>
              <w:left w:val="single" w:color="auto" w:sz="4" w:space="0"/>
              <w:bottom w:val="single" w:color="auto" w:sz="4" w:space="0"/>
              <w:right w:val="single" w:color="auto" w:sz="4" w:space="0"/>
            </w:tcBorders>
            <w:vAlign w:val="center"/>
          </w:tcPr>
          <w:p w14:paraId="2CD32341">
            <w:pPr>
              <w:spacing w:line="336"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20</w:t>
            </w:r>
          </w:p>
        </w:tc>
      </w:tr>
    </w:tbl>
    <w:p w14:paraId="7E269F17">
      <w:pPr>
        <w:adjustRightInd w:val="0"/>
        <w:snapToGrid w:val="0"/>
        <w:spacing w:line="360" w:lineRule="auto"/>
        <w:ind w:firstLine="480" w:firstLineChars="200"/>
        <w:rPr>
          <w:rFonts w:ascii="宋体" w:hAnsi="宋体" w:eastAsia="宋体"/>
          <w:sz w:val="24"/>
          <w:szCs w:val="24"/>
        </w:rPr>
      </w:pPr>
    </w:p>
    <w:p w14:paraId="2BF66E9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（2）价格分</w:t>
      </w:r>
    </w:p>
    <w:tbl>
      <w:tblPr>
        <w:tblStyle w:val="2"/>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28"/>
      </w:tblGrid>
      <w:tr w14:paraId="379E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980" w:type="dxa"/>
            <w:vAlign w:val="center"/>
          </w:tcPr>
          <w:p w14:paraId="67B3267A">
            <w:pPr>
              <w:spacing w:line="360" w:lineRule="auto"/>
              <w:jc w:val="center"/>
              <w:rPr>
                <w:rFonts w:ascii="宋体" w:hAnsi="宋体" w:eastAsia="宋体"/>
                <w:sz w:val="24"/>
                <w:szCs w:val="24"/>
              </w:rPr>
            </w:pPr>
            <w:r>
              <w:rPr>
                <w:rFonts w:hint="eastAsia" w:ascii="宋体" w:hAnsi="宋体" w:eastAsia="宋体"/>
                <w:sz w:val="24"/>
                <w:szCs w:val="24"/>
              </w:rPr>
              <w:t>价格分（</w:t>
            </w:r>
            <w:r>
              <w:rPr>
                <w:rFonts w:hint="eastAsia" w:ascii="宋体" w:hAnsi="宋体" w:eastAsia="宋体"/>
                <w:sz w:val="24"/>
                <w:szCs w:val="24"/>
                <w:lang w:val="en-US" w:eastAsia="zh-CN"/>
              </w:rPr>
              <w:t>30</w:t>
            </w:r>
            <w:r>
              <w:rPr>
                <w:rFonts w:hint="eastAsia" w:ascii="宋体" w:hAnsi="宋体" w:eastAsia="宋体"/>
                <w:sz w:val="24"/>
                <w:szCs w:val="24"/>
              </w:rPr>
              <w:t>分）</w:t>
            </w:r>
          </w:p>
        </w:tc>
        <w:tc>
          <w:tcPr>
            <w:tcW w:w="7028" w:type="dxa"/>
            <w:vAlign w:val="center"/>
          </w:tcPr>
          <w:p w14:paraId="48965408">
            <w:pPr>
              <w:adjustRightInd w:val="0"/>
              <w:snapToGrid w:val="0"/>
              <w:spacing w:line="300" w:lineRule="auto"/>
              <w:rPr>
                <w:rFonts w:ascii="宋体" w:hAnsi="宋体" w:eastAsia="宋体"/>
                <w:bCs/>
                <w:sz w:val="24"/>
                <w:szCs w:val="24"/>
              </w:rPr>
            </w:pPr>
            <w:r>
              <w:rPr>
                <w:rFonts w:hint="eastAsia" w:ascii="宋体" w:hAnsi="宋体" w:eastAsia="宋体"/>
                <w:bCs/>
                <w:sz w:val="24"/>
                <w:szCs w:val="24"/>
              </w:rPr>
              <w:t>价格分统一采用低价优先法计算，即满足文件要求且最后报价最低的供应商的价格为基准价，其价格分为满分</w:t>
            </w:r>
            <w:r>
              <w:rPr>
                <w:rFonts w:hint="eastAsia" w:ascii="宋体" w:hAnsi="宋体" w:eastAsia="宋体"/>
                <w:bCs/>
                <w:sz w:val="24"/>
                <w:szCs w:val="24"/>
                <w:u w:val="single"/>
              </w:rPr>
              <w:t xml:space="preserve"> </w:t>
            </w:r>
            <w:r>
              <w:rPr>
                <w:rFonts w:hint="eastAsia" w:ascii="宋体" w:hAnsi="宋体" w:eastAsia="宋体"/>
                <w:bCs/>
                <w:sz w:val="24"/>
                <w:szCs w:val="24"/>
                <w:u w:val="single"/>
                <w:lang w:val="en-US" w:eastAsia="zh-CN"/>
              </w:rPr>
              <w:t>30</w:t>
            </w:r>
            <w:r>
              <w:rPr>
                <w:rFonts w:hint="eastAsia" w:ascii="宋体" w:hAnsi="宋体" w:eastAsia="宋体"/>
                <w:bCs/>
                <w:sz w:val="24"/>
                <w:szCs w:val="24"/>
                <w:u w:val="single"/>
              </w:rPr>
              <w:t xml:space="preserve"> </w:t>
            </w:r>
            <w:r>
              <w:rPr>
                <w:rFonts w:hint="eastAsia" w:ascii="宋体" w:hAnsi="宋体" w:eastAsia="宋体"/>
                <w:bCs/>
                <w:sz w:val="24"/>
                <w:szCs w:val="24"/>
              </w:rPr>
              <w:t>分，其他合格供应商的价格分统一按照下列公式计算：</w:t>
            </w:r>
          </w:p>
          <w:p w14:paraId="11C08531">
            <w:pPr>
              <w:adjustRightInd w:val="0"/>
              <w:snapToGrid w:val="0"/>
              <w:spacing w:line="360" w:lineRule="auto"/>
              <w:rPr>
                <w:rFonts w:ascii="宋体" w:hAnsi="宋体" w:eastAsia="宋体"/>
                <w:sz w:val="24"/>
                <w:szCs w:val="24"/>
              </w:rPr>
            </w:pPr>
            <w:r>
              <w:rPr>
                <w:rFonts w:hint="eastAsia" w:ascii="宋体" w:hAnsi="宋体" w:eastAsia="宋体"/>
                <w:bCs/>
                <w:sz w:val="24"/>
                <w:szCs w:val="24"/>
              </w:rPr>
              <w:t>报价得分=（基准价/报价）×</w:t>
            </w:r>
            <w:r>
              <w:rPr>
                <w:rFonts w:hint="eastAsia" w:ascii="宋体" w:hAnsi="宋体" w:eastAsia="宋体"/>
                <w:bCs/>
                <w:sz w:val="24"/>
                <w:szCs w:val="24"/>
                <w:u w:val="single"/>
                <w:lang w:val="en-US" w:eastAsia="zh-CN"/>
              </w:rPr>
              <w:t>30</w:t>
            </w:r>
            <w:r>
              <w:rPr>
                <w:rFonts w:hint="eastAsia" w:ascii="宋体" w:hAnsi="宋体" w:eastAsia="宋体"/>
                <w:bCs/>
                <w:sz w:val="24"/>
                <w:szCs w:val="24"/>
                <w:u w:val="single"/>
              </w:rPr>
              <w:t xml:space="preserve"> </w:t>
            </w:r>
            <w:r>
              <w:rPr>
                <w:rFonts w:hint="eastAsia" w:ascii="宋体" w:hAnsi="宋体" w:eastAsia="宋体"/>
                <w:bCs/>
                <w:sz w:val="24"/>
                <w:szCs w:val="24"/>
              </w:rPr>
              <w:t>%×100</w:t>
            </w:r>
          </w:p>
        </w:tc>
      </w:tr>
    </w:tbl>
    <w:p w14:paraId="0A2D6C20">
      <w:pPr>
        <w:adjustRightInd w:val="0"/>
        <w:spacing w:line="440" w:lineRule="exact"/>
        <w:ind w:firstLine="480" w:firstLineChars="200"/>
        <w:contextualSpacing/>
        <w:rPr>
          <w:rFonts w:ascii="宋体" w:hAnsi="宋体" w:eastAsia="宋体"/>
          <w:sz w:val="24"/>
          <w:szCs w:val="24"/>
        </w:rPr>
      </w:pPr>
    </w:p>
    <w:p w14:paraId="3256A044">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（3）汇总</w:t>
      </w:r>
    </w:p>
    <w:p w14:paraId="0D13A35B">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评审小组将合格供应商的技术分和价格分汇总以后得到供应商的最终评审总得分，按照最终评审得分由高到低排出成交候选顺序。</w:t>
      </w:r>
    </w:p>
    <w:p w14:paraId="7FE65543">
      <w:pPr>
        <w:adjustRightInd w:val="0"/>
        <w:spacing w:line="440" w:lineRule="exact"/>
        <w:ind w:firstLine="480" w:firstLineChars="200"/>
        <w:contextualSpacing/>
        <w:rPr>
          <w:rFonts w:ascii="宋体" w:hAnsi="宋体" w:eastAsia="宋体"/>
          <w:sz w:val="24"/>
          <w:szCs w:val="24"/>
        </w:rPr>
      </w:pPr>
      <w:r>
        <w:rPr>
          <w:rFonts w:hint="eastAsia" w:ascii="宋体" w:hAnsi="宋体" w:eastAsia="宋体"/>
          <w:sz w:val="24"/>
          <w:szCs w:val="24"/>
        </w:rPr>
        <w:t>不公布得分，对供应商得分情况不做任何解释。</w:t>
      </w:r>
    </w:p>
    <w:p w14:paraId="77BDA955">
      <w:pPr>
        <w:spacing w:line="440" w:lineRule="exact"/>
        <w:ind w:firstLine="482" w:firstLineChars="200"/>
        <w:contextualSpacing/>
        <w:rPr>
          <w:rFonts w:ascii="宋体" w:hAnsi="宋体" w:eastAsia="宋体" w:cs="宋体-18030"/>
          <w:b/>
          <w:sz w:val="24"/>
          <w:szCs w:val="24"/>
        </w:rPr>
      </w:pPr>
      <w:r>
        <w:rPr>
          <w:rFonts w:hint="eastAsia" w:ascii="宋体" w:hAnsi="宋体" w:eastAsia="宋体" w:cs="宋体-18030"/>
          <w:b/>
          <w:sz w:val="24"/>
          <w:szCs w:val="24"/>
        </w:rPr>
        <w:t>4</w:t>
      </w:r>
      <w:r>
        <w:rPr>
          <w:rFonts w:ascii="宋体" w:hAnsi="宋体" w:eastAsia="宋体" w:cs="宋体-18030"/>
          <w:b/>
          <w:sz w:val="24"/>
          <w:szCs w:val="24"/>
        </w:rPr>
        <w:t>.</w:t>
      </w:r>
      <w:r>
        <w:rPr>
          <w:rFonts w:hint="eastAsia" w:ascii="宋体" w:hAnsi="宋体" w:eastAsia="宋体" w:cs="宋体-18030"/>
          <w:b/>
          <w:sz w:val="24"/>
          <w:szCs w:val="24"/>
        </w:rPr>
        <w:t>成交候选排序</w:t>
      </w:r>
    </w:p>
    <w:p w14:paraId="2516B5F2">
      <w:pPr>
        <w:adjustRightInd w:val="0"/>
        <w:spacing w:line="440" w:lineRule="exact"/>
        <w:ind w:firstLine="480" w:firstLineChars="200"/>
        <w:contextualSpacing/>
        <w:rPr>
          <w:rFonts w:hint="eastAsia" w:ascii="宋体" w:hAnsi="宋体" w:eastAsia="宋体"/>
          <w:sz w:val="24"/>
          <w:szCs w:val="24"/>
        </w:rPr>
      </w:pPr>
      <w:r>
        <w:rPr>
          <w:rFonts w:hint="eastAsia" w:ascii="宋体" w:hAnsi="宋体" w:eastAsia="宋体"/>
          <w:sz w:val="24"/>
          <w:szCs w:val="24"/>
        </w:rPr>
        <w:t>评审小组将合格供应商的技术分和价格分汇总以后得到供应商的最终评审总得分，按照最终评审得分由高到低排出成交候选顺序。最终评审得分出现两家或两家以上相同者，按最后报价由低到高排序确定成交候选供应商；评审总得分且最后报价相同的，按照技术指标优劣顺序由评审小组推荐排出成交候选顺序。不公布得分，对供应商得分情况不做任何解释。</w:t>
      </w: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zYTFhNzI3MWUxZGMwNDdiZWFhMmVmMWNiNjJjYTkifQ=="/>
  </w:docVars>
  <w:rsids>
    <w:rsidRoot w:val="00B861FE"/>
    <w:rsid w:val="0032056C"/>
    <w:rsid w:val="00530D74"/>
    <w:rsid w:val="00775E22"/>
    <w:rsid w:val="00AE0C15"/>
    <w:rsid w:val="00B0460E"/>
    <w:rsid w:val="00B861FE"/>
    <w:rsid w:val="30D063BA"/>
    <w:rsid w:val="69391ED6"/>
    <w:rsid w:val="7AA005A3"/>
    <w:rsid w:val="7D115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1350</Characters>
  <Lines>11</Lines>
  <Paragraphs>3</Paragraphs>
  <TotalTime>0</TotalTime>
  <ScaleCrop>false</ScaleCrop>
  <LinksUpToDate>false</LinksUpToDate>
  <CharactersWithSpaces>1364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2024-04-24T07:12:00Z</dcterms:created>
  <dc:creator>xu caisong</dc:creator>
  <cp:lastModifiedBy>土地公房科</cp:lastModifiedBy>
  <dcterms:modified xsi:type="dcterms:W3CDTF">2026-04-07T06:36:49Z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CC8A6AF6720742F683F3D2D39D32A39A_13</vt:lpwstr>
  </property>
  <property fmtid="{D5CDD505-2E9C-101B-9397-08002B2CF9AE}" pid="4" name="KSOTemplateDocerSaveRecord">
    <vt:lpwstr>eyJoZGlkIjoiNjIzYTFhNzI3MWUxZGMwNDdiZWFhMmVmMWNiNjJjYTkiLCJ1c2VySWQiOiIzODc3NTQyOTMifQ==</vt:lpwstr>
  </property>
</Properties>
</file>